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298" w:rsidRPr="00531298" w:rsidRDefault="00531298" w:rsidP="00531298">
      <w:pPr>
        <w:pStyle w:val="Title"/>
        <w:rPr>
          <w:rFonts w:ascii="Arial Narrow" w:eastAsia="Times New Roman" w:hAnsi="Arial Narrow"/>
          <w:color w:val="0070C0"/>
          <w:lang w:val="en-US"/>
        </w:rPr>
      </w:pPr>
      <w:r w:rsidRPr="00531298">
        <w:rPr>
          <w:rFonts w:ascii="Arial Narrow" w:eastAsia="Times New Roman" w:hAnsi="Arial Narrow"/>
          <w:color w:val="0070C0"/>
          <w:lang w:val="en-US"/>
        </w:rPr>
        <w:t>Marshall Islands Maritime Investment Project</w:t>
      </w:r>
    </w:p>
    <w:p w:rsidR="00B70568" w:rsidRPr="00531298" w:rsidRDefault="00B70568" w:rsidP="00531298">
      <w:pPr>
        <w:pStyle w:val="Subtitle"/>
        <w:rPr>
          <w:rFonts w:ascii="Arial Narrow" w:eastAsia="Times New Roman" w:hAnsi="Arial Narrow"/>
          <w:color w:val="0070C0"/>
          <w:sz w:val="32"/>
          <w:szCs w:val="32"/>
          <w:lang w:val="en-US"/>
        </w:rPr>
      </w:pPr>
      <w:r w:rsidRPr="00531298">
        <w:rPr>
          <w:rFonts w:ascii="Arial Narrow" w:eastAsia="Times New Roman" w:hAnsi="Arial Narrow"/>
          <w:color w:val="0070C0"/>
          <w:sz w:val="32"/>
          <w:szCs w:val="32"/>
          <w:lang w:val="en-US"/>
        </w:rPr>
        <w:t>Solid Waste Code of Conduct Requirements</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These requirements will form the basis for the development of the MIMIP Code of Practices for MIMIP Solid Waste Management. The key objectives of these requirements are to assist the CIU Safeguard Specialist to develop a sector-based code of practice for waste management. The requirements for the Code of Practice are: </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1. Compliance with GoRMI Solid Waste Management Regulations. </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2. Satisfies the requirements of the ESMP </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3. Satisfies the requirements of the World Bank </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4. Meets the following minimum standards: </w:t>
      </w:r>
    </w:p>
    <w:p w:rsidR="00B70568" w:rsidRPr="00531298" w:rsidRDefault="00B70568" w:rsidP="00531298">
      <w:pPr>
        <w:pStyle w:val="ListParagraph"/>
        <w:numPr>
          <w:ilvl w:val="0"/>
          <w:numId w:val="6"/>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No RMI landfills are to be used for any waste. All waste is to be recycled or disposed of offshore at a permitted facility. </w:t>
      </w:r>
    </w:p>
    <w:p w:rsidR="00B70568" w:rsidRPr="00531298" w:rsidRDefault="00B70568" w:rsidP="00531298">
      <w:pPr>
        <w:pStyle w:val="ListParagraph"/>
        <w:numPr>
          <w:ilvl w:val="0"/>
          <w:numId w:val="6"/>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No dumping of any waste in RMI </w:t>
      </w:r>
    </w:p>
    <w:p w:rsidR="00B70568" w:rsidRPr="00531298" w:rsidRDefault="00B70568" w:rsidP="00531298">
      <w:pPr>
        <w:pStyle w:val="ListParagraph"/>
        <w:numPr>
          <w:ilvl w:val="0"/>
          <w:numId w:val="6"/>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Compliance with Waigani Convention and any other relevant international conventions for export of hazardous and non-hazardous waste </w:t>
      </w:r>
    </w:p>
    <w:p w:rsidR="00B70568" w:rsidRPr="00531298" w:rsidRDefault="00B70568" w:rsidP="00531298">
      <w:pPr>
        <w:pStyle w:val="ListParagraph"/>
        <w:numPr>
          <w:ilvl w:val="0"/>
          <w:numId w:val="6"/>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Identify and utilize suitable local recycling and reuse options </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5. Implements the usual good practice of solid waste management, including: </w:t>
      </w:r>
    </w:p>
    <w:p w:rsidR="00B70568" w:rsidRPr="00531298" w:rsidRDefault="00B70568" w:rsidP="00531298">
      <w:pPr>
        <w:pStyle w:val="ListParagraph"/>
        <w:numPr>
          <w:ilvl w:val="0"/>
          <w:numId w:val="5"/>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Segregation of waste </w:t>
      </w:r>
    </w:p>
    <w:p w:rsidR="00B70568" w:rsidRPr="00531298" w:rsidRDefault="00B70568" w:rsidP="00531298">
      <w:pPr>
        <w:pStyle w:val="ListParagraph"/>
        <w:numPr>
          <w:ilvl w:val="0"/>
          <w:numId w:val="5"/>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Secure storage for waste </w:t>
      </w:r>
    </w:p>
    <w:p w:rsidR="00B70568" w:rsidRPr="00531298" w:rsidRDefault="00B70568" w:rsidP="00531298">
      <w:pPr>
        <w:pStyle w:val="ListParagraph"/>
        <w:numPr>
          <w:ilvl w:val="0"/>
          <w:numId w:val="5"/>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Adopting the waste hierarchy: (i) avoid; (ii) reduce; (iii) reuse; (iv) recycle </w:t>
      </w:r>
    </w:p>
    <w:p w:rsidR="00B70568" w:rsidRPr="00531298" w:rsidRDefault="00B70568" w:rsidP="00531298">
      <w:pPr>
        <w:pStyle w:val="ListParagraph"/>
        <w:numPr>
          <w:ilvl w:val="0"/>
          <w:numId w:val="5"/>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 xml:space="preserve">Collaborating with other sectors, waste generators and government initiatives for cumulative benefits </w:t>
      </w:r>
    </w:p>
    <w:p w:rsidR="00B70568" w:rsidRPr="00531298" w:rsidRDefault="00B70568" w:rsidP="00531298">
      <w:pPr>
        <w:pStyle w:val="ListParagraph"/>
        <w:numPr>
          <w:ilvl w:val="0"/>
          <w:numId w:val="5"/>
        </w:numPr>
        <w:spacing w:before="120" w:after="120" w:line="240" w:lineRule="auto"/>
        <w:ind w:left="567"/>
        <w:jc w:val="both"/>
        <w:rPr>
          <w:rFonts w:ascii="Arial Narrow" w:eastAsia="Times New Roman" w:hAnsi="Arial Narrow" w:cs="Arial"/>
          <w:iCs/>
          <w:sz w:val="20"/>
          <w:szCs w:val="18"/>
          <w:lang w:val="en-US"/>
        </w:rPr>
      </w:pPr>
      <w:r w:rsidRPr="00531298">
        <w:rPr>
          <w:rFonts w:ascii="Arial Narrow" w:eastAsia="Times New Roman" w:hAnsi="Arial Narrow" w:cs="Arial"/>
          <w:iCs/>
          <w:sz w:val="20"/>
          <w:szCs w:val="18"/>
          <w:lang w:val="en-US"/>
        </w:rPr>
        <w:t>Build capacity and sustainability within the maritime sector in the approach to waste management through MIMIP implementation.</w:t>
      </w:r>
    </w:p>
    <w:p w:rsidR="00B70568" w:rsidRPr="00B70568" w:rsidRDefault="00B70568" w:rsidP="00B70568">
      <w:pPr>
        <w:spacing w:after="120" w:line="240" w:lineRule="auto"/>
        <w:rPr>
          <w:rFonts w:ascii="Arial Narrow" w:eastAsia="Times New Roman" w:hAnsi="Arial Narrow"/>
          <w:sz w:val="20"/>
          <w:lang w:val="en-US"/>
        </w:rPr>
      </w:pPr>
      <w:r w:rsidRPr="00B70568">
        <w:rPr>
          <w:rFonts w:ascii="Arial Narrow" w:eastAsia="Times New Roman" w:hAnsi="Arial Narrow"/>
          <w:sz w:val="20"/>
          <w:lang w:val="en-US"/>
        </w:rPr>
        <w:t xml:space="preserve">When developing, and implementing the Code of Practice, the Safeguard Specialist will consider: </w:t>
      </w:r>
    </w:p>
    <w:p w:rsidR="00B70568" w:rsidRPr="00B70568" w:rsidRDefault="00B70568" w:rsidP="00B70568">
      <w:pPr>
        <w:numPr>
          <w:ilvl w:val="0"/>
          <w:numId w:val="1"/>
        </w:numPr>
        <w:spacing w:before="120" w:after="120" w:line="240" w:lineRule="auto"/>
        <w:jc w:val="both"/>
        <w:rPr>
          <w:rFonts w:ascii="Arial Narrow" w:eastAsia="Times New Roman" w:hAnsi="Arial Narrow"/>
          <w:sz w:val="20"/>
          <w:lang w:val="en-US"/>
        </w:rPr>
      </w:pPr>
      <w:r w:rsidRPr="00B70568">
        <w:rPr>
          <w:rFonts w:ascii="Arial Narrow" w:eastAsia="Times New Roman" w:hAnsi="Arial Narrow"/>
          <w:b/>
          <w:sz w:val="20"/>
          <w:lang w:val="en-US"/>
        </w:rPr>
        <w:t>Waste streams:</w:t>
      </w:r>
      <w:r w:rsidRPr="00B70568">
        <w:rPr>
          <w:rFonts w:ascii="Arial Narrow" w:eastAsia="Times New Roman" w:hAnsi="Arial Narrow"/>
          <w:sz w:val="20"/>
          <w:lang w:val="en-US"/>
        </w:rPr>
        <w:t xml:space="preserve"> identify which waste streams are likely to be generated and estimate the approximate amounts of materials (Table A7.1)</w:t>
      </w:r>
    </w:p>
    <w:p w:rsidR="00B70568" w:rsidRPr="00B70568" w:rsidRDefault="00B70568" w:rsidP="00B70568">
      <w:pPr>
        <w:numPr>
          <w:ilvl w:val="0"/>
          <w:numId w:val="4"/>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 xml:space="preserve">Undertake inventory of materials that can be reused, recycled or recovered from the project: </w:t>
      </w:r>
    </w:p>
    <w:p w:rsidR="00B70568" w:rsidRPr="00B70568" w:rsidRDefault="00B70568" w:rsidP="00B70568">
      <w:pPr>
        <w:numPr>
          <w:ilvl w:val="0"/>
          <w:numId w:val="4"/>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Specific types of materials</w:t>
      </w:r>
    </w:p>
    <w:p w:rsidR="00B70568" w:rsidRPr="00B70568" w:rsidRDefault="00B70568" w:rsidP="00B70568">
      <w:pPr>
        <w:numPr>
          <w:ilvl w:val="0"/>
          <w:numId w:val="4"/>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 xml:space="preserve">Amount of material expected </w:t>
      </w:r>
    </w:p>
    <w:p w:rsidR="00B70568" w:rsidRPr="00B70568" w:rsidRDefault="00B70568" w:rsidP="00B70568">
      <w:pPr>
        <w:numPr>
          <w:ilvl w:val="0"/>
          <w:numId w:val="4"/>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 xml:space="preserve">Possible contamination by hazardous materials like asbestos or lead: these materials will limit reuse/recycling options and require special disposal. </w:t>
      </w:r>
    </w:p>
    <w:p w:rsidR="00B70568" w:rsidRPr="00B70568" w:rsidRDefault="00B70568" w:rsidP="00B70568">
      <w:pPr>
        <w:spacing w:before="120" w:after="120" w:line="240" w:lineRule="auto"/>
        <w:ind w:left="993" w:hanging="425"/>
        <w:jc w:val="both"/>
        <w:rPr>
          <w:rFonts w:ascii="Arial Narrow" w:eastAsia="Times New Roman" w:hAnsi="Arial Narrow" w:cs="Arial"/>
          <w:iCs/>
          <w:sz w:val="20"/>
          <w:szCs w:val="18"/>
          <w:lang w:val="en-US"/>
        </w:rPr>
      </w:pPr>
      <w:r w:rsidRPr="00B70568">
        <w:rPr>
          <w:rFonts w:ascii="Arial Narrow" w:eastAsia="Times New Roman" w:hAnsi="Arial Narrow" w:cs="Arial"/>
          <w:b/>
          <w:iCs/>
          <w:sz w:val="20"/>
          <w:szCs w:val="18"/>
          <w:lang w:val="en-US"/>
        </w:rPr>
        <w:t>Collection and Storage:</w:t>
      </w:r>
      <w:r w:rsidRPr="00B70568">
        <w:rPr>
          <w:rFonts w:ascii="Arial Narrow" w:eastAsia="Times New Roman" w:hAnsi="Arial Narrow" w:cs="Arial"/>
          <w:iCs/>
          <w:sz w:val="20"/>
          <w:szCs w:val="18"/>
          <w:lang w:val="en-US"/>
        </w:rPr>
        <w:t xml:space="preserve"> How and where will the difference waste streams be collected and stored prior to their disposal offshore. Detail the types of containers to be used and the storage areas that will be created for this waste. Differentiate between regular, bulk and hazardous waste. This must be compliant with the minimum standards detailed in the ESMP:</w:t>
      </w:r>
    </w:p>
    <w:p w:rsidR="00B70568" w:rsidRPr="00B70568" w:rsidRDefault="00B70568" w:rsidP="00B70568">
      <w:pPr>
        <w:numPr>
          <w:ilvl w:val="0"/>
          <w:numId w:val="3"/>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Hazardous wastes shall be collected and stored in water tight containers, Containers shall be stored in a bunded and covered area prior to export for disposal.</w:t>
      </w:r>
    </w:p>
    <w:p w:rsidR="00B70568" w:rsidRPr="00B70568" w:rsidRDefault="00B70568" w:rsidP="00B70568">
      <w:pPr>
        <w:numPr>
          <w:ilvl w:val="0"/>
          <w:numId w:val="3"/>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Difficult waste such as appliances and building cladding shall be stored in a secure fenced and covered area.</w:t>
      </w:r>
    </w:p>
    <w:p w:rsidR="00B70568" w:rsidRPr="00B70568" w:rsidRDefault="00B70568" w:rsidP="00B70568">
      <w:pPr>
        <w:numPr>
          <w:ilvl w:val="0"/>
          <w:numId w:val="3"/>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Non-hazardous wastes shall be stored in a way that prevents their uncontrolled movement, this may be containerized or fenced and/or covered stockpiles. Where appropriate, silt fences, drains and traps or other movement prevention mechanisms should be put in place.</w:t>
      </w:r>
    </w:p>
    <w:p w:rsidR="00B70568" w:rsidRPr="00B70568" w:rsidRDefault="00B70568" w:rsidP="00B70568">
      <w:pPr>
        <w:spacing w:before="120" w:after="120" w:line="240" w:lineRule="auto"/>
        <w:ind w:left="993" w:hanging="425"/>
        <w:jc w:val="both"/>
        <w:rPr>
          <w:rFonts w:ascii="Arial Narrow" w:eastAsia="Times New Roman" w:hAnsi="Arial Narrow" w:cs="Arial"/>
          <w:iCs/>
          <w:sz w:val="20"/>
          <w:szCs w:val="18"/>
          <w:lang w:val="en-US"/>
        </w:rPr>
      </w:pPr>
      <w:r w:rsidRPr="00B70568">
        <w:rPr>
          <w:rFonts w:ascii="Arial Narrow" w:eastAsia="Times New Roman" w:hAnsi="Arial Narrow" w:cs="Arial"/>
          <w:b/>
          <w:iCs/>
          <w:sz w:val="20"/>
          <w:szCs w:val="18"/>
          <w:lang w:val="en-US"/>
        </w:rPr>
        <w:t>On-site:</w:t>
      </w:r>
      <w:r w:rsidRPr="00B70568">
        <w:rPr>
          <w:rFonts w:ascii="Arial Narrow" w:eastAsia="Times New Roman" w:hAnsi="Arial Narrow" w:cs="Arial"/>
          <w:iCs/>
          <w:sz w:val="20"/>
          <w:szCs w:val="18"/>
          <w:lang w:val="en-US"/>
        </w:rPr>
        <w:t xml:space="preserve"> understand how the waste management system (housekeeping, sorting and storage) will work on-site, including bin placement and access.</w:t>
      </w:r>
      <w:bookmarkStart w:id="0" w:name="_GoBack"/>
      <w:bookmarkEnd w:id="0"/>
    </w:p>
    <w:p w:rsidR="00B70568" w:rsidRPr="00B70568" w:rsidRDefault="00B70568" w:rsidP="00B70568">
      <w:pPr>
        <w:spacing w:before="120" w:after="120" w:line="240" w:lineRule="auto"/>
        <w:ind w:left="360"/>
        <w:jc w:val="both"/>
        <w:rPr>
          <w:rFonts w:ascii="Arial Narrow" w:eastAsia="Times New Roman" w:hAnsi="Arial Narrow"/>
          <w:sz w:val="20"/>
          <w:lang w:val="en-US"/>
        </w:rPr>
      </w:pPr>
      <w:r w:rsidRPr="00B70568">
        <w:rPr>
          <w:rFonts w:ascii="Arial Narrow" w:eastAsia="Times New Roman" w:hAnsi="Arial Narrow"/>
          <w:sz w:val="20"/>
          <w:lang w:val="en-US"/>
        </w:rPr>
        <w:t>Determine storage requirements (separate bins or co-mingled), things to consider include:</w:t>
      </w:r>
    </w:p>
    <w:p w:rsidR="00B70568" w:rsidRPr="00B70568" w:rsidRDefault="00B70568" w:rsidP="00B70568">
      <w:pPr>
        <w:numPr>
          <w:ilvl w:val="0"/>
          <w:numId w:val="2"/>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lastRenderedPageBreak/>
        <w:t>Ease of use: ensure that containers are easily accessible by workers and that storage areas are clearly sign posted</w:t>
      </w:r>
    </w:p>
    <w:p w:rsidR="00B70568" w:rsidRPr="00B70568" w:rsidRDefault="00B70568" w:rsidP="00B70568">
      <w:pPr>
        <w:numPr>
          <w:ilvl w:val="0"/>
          <w:numId w:val="2"/>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Safety: ensure that the containers and storage can be managed safely, including limiting public access to the storage areas</w:t>
      </w:r>
    </w:p>
    <w:p w:rsidR="00B70568" w:rsidRPr="00B70568" w:rsidRDefault="00B70568" w:rsidP="00B70568">
      <w:pPr>
        <w:numPr>
          <w:ilvl w:val="0"/>
          <w:numId w:val="2"/>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Hazardous waste materials storage</w:t>
      </w:r>
    </w:p>
    <w:p w:rsidR="00B70568" w:rsidRPr="00B70568" w:rsidRDefault="00B70568" w:rsidP="00B70568">
      <w:pPr>
        <w:numPr>
          <w:ilvl w:val="0"/>
          <w:numId w:val="2"/>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Aesthetics: ensure that the MIMIP sites and storage area appears orderly and will not raise concern from local residents or businesses – for example screening for dust and litter containment and daily collection of windblown material</w:t>
      </w:r>
    </w:p>
    <w:p w:rsidR="00B70568" w:rsidRPr="00B70568" w:rsidRDefault="00B70568" w:rsidP="00B70568">
      <w:pPr>
        <w:numPr>
          <w:ilvl w:val="0"/>
          <w:numId w:val="2"/>
        </w:numPr>
        <w:spacing w:before="120" w:after="120" w:line="240" w:lineRule="auto"/>
        <w:jc w:val="both"/>
        <w:rPr>
          <w:rFonts w:ascii="Arial Narrow" w:eastAsia="Times New Roman" w:hAnsi="Arial Narrow" w:cs="Arial"/>
          <w:iCs/>
          <w:sz w:val="20"/>
          <w:szCs w:val="18"/>
          <w:lang w:val="en-US"/>
        </w:rPr>
      </w:pPr>
      <w:r w:rsidRPr="00B70568">
        <w:rPr>
          <w:rFonts w:ascii="Arial Narrow" w:eastAsia="Times New Roman" w:hAnsi="Arial Narrow" w:cs="Arial"/>
          <w:iCs/>
          <w:sz w:val="20"/>
          <w:szCs w:val="18"/>
          <w:lang w:val="en-US"/>
        </w:rPr>
        <w:t>Establish a collection/delivery plan in collaboration with waste contractors for waste and recyclable materials generated on-site.</w:t>
      </w:r>
    </w:p>
    <w:p w:rsidR="00B70568" w:rsidRPr="00B70568" w:rsidRDefault="00B70568" w:rsidP="00B70568">
      <w:pPr>
        <w:spacing w:before="120" w:after="120" w:line="240" w:lineRule="auto"/>
        <w:ind w:left="993" w:hanging="425"/>
        <w:jc w:val="both"/>
        <w:rPr>
          <w:rFonts w:ascii="Arial Narrow" w:eastAsia="Times New Roman" w:hAnsi="Arial Narrow" w:cs="Arial"/>
          <w:iCs/>
          <w:sz w:val="20"/>
          <w:szCs w:val="18"/>
          <w:lang w:val="en-US"/>
        </w:rPr>
      </w:pPr>
      <w:r w:rsidRPr="00B70568">
        <w:rPr>
          <w:rFonts w:ascii="Arial Narrow" w:eastAsia="Times New Roman" w:hAnsi="Arial Narrow" w:cs="Arial"/>
          <w:b/>
          <w:iCs/>
          <w:sz w:val="20"/>
          <w:szCs w:val="18"/>
          <w:lang w:val="en-US"/>
        </w:rPr>
        <w:t>Clearly assign and communicate responsibilities:</w:t>
      </w:r>
      <w:r w:rsidRPr="00B70568">
        <w:rPr>
          <w:rFonts w:ascii="Arial Narrow" w:eastAsia="Times New Roman" w:hAnsi="Arial Narrow" w:cs="Arial"/>
          <w:iCs/>
          <w:sz w:val="20"/>
          <w:szCs w:val="18"/>
          <w:lang w:val="en-US"/>
        </w:rPr>
        <w:t xml:space="preserve"> ensure those involved in the MIMIP are aware of their responsibilities in relation to the Codes of Practice.</w:t>
      </w:r>
    </w:p>
    <w:p w:rsidR="00B70568" w:rsidRPr="00B70568" w:rsidRDefault="00B70568" w:rsidP="00B70568">
      <w:pPr>
        <w:spacing w:before="120" w:after="120" w:line="240" w:lineRule="auto"/>
        <w:ind w:left="993" w:hanging="425"/>
        <w:jc w:val="both"/>
        <w:rPr>
          <w:rFonts w:ascii="Arial Narrow" w:eastAsia="Times New Roman" w:hAnsi="Arial Narrow" w:cs="Arial"/>
          <w:iCs/>
          <w:sz w:val="20"/>
          <w:szCs w:val="18"/>
          <w:lang w:val="en-US"/>
        </w:rPr>
      </w:pPr>
      <w:r w:rsidRPr="00B70568">
        <w:rPr>
          <w:rFonts w:ascii="Arial Narrow" w:eastAsia="Times New Roman" w:hAnsi="Arial Narrow" w:cs="Arial"/>
          <w:b/>
          <w:iCs/>
          <w:sz w:val="20"/>
          <w:szCs w:val="18"/>
          <w:lang w:val="en-US"/>
        </w:rPr>
        <w:t>Training:</w:t>
      </w:r>
      <w:r w:rsidRPr="00B70568">
        <w:rPr>
          <w:rFonts w:ascii="Arial Narrow" w:eastAsia="Times New Roman" w:hAnsi="Arial Narrow" w:cs="Arial"/>
          <w:iCs/>
          <w:sz w:val="20"/>
          <w:szCs w:val="18"/>
          <w:lang w:val="en-US"/>
        </w:rPr>
        <w:t xml:space="preserve"> be clear about how the various elements of the Codes of Practice will be implemented.</w:t>
      </w:r>
    </w:p>
    <w:p w:rsidR="00B70568" w:rsidRPr="00B70568" w:rsidRDefault="00B70568" w:rsidP="00B70568">
      <w:pPr>
        <w:spacing w:before="120" w:after="120" w:line="240" w:lineRule="auto"/>
        <w:ind w:left="993" w:hanging="425"/>
        <w:jc w:val="both"/>
        <w:rPr>
          <w:rFonts w:ascii="Arial Narrow" w:eastAsia="Times New Roman" w:hAnsi="Arial Narrow" w:cs="Arial"/>
          <w:iCs/>
          <w:sz w:val="20"/>
          <w:szCs w:val="18"/>
          <w:lang w:val="en-US"/>
        </w:rPr>
      </w:pPr>
      <w:r w:rsidRPr="00B70568">
        <w:rPr>
          <w:rFonts w:ascii="Arial Narrow" w:eastAsia="Times New Roman" w:hAnsi="Arial Narrow" w:cs="Arial"/>
          <w:b/>
          <w:iCs/>
          <w:sz w:val="20"/>
          <w:szCs w:val="18"/>
          <w:lang w:val="en-US"/>
        </w:rPr>
        <w:t>Monitor:</w:t>
      </w:r>
      <w:r w:rsidRPr="00B70568">
        <w:rPr>
          <w:rFonts w:ascii="Arial Narrow" w:eastAsia="Times New Roman" w:hAnsi="Arial Narrow" w:cs="Arial"/>
          <w:iCs/>
          <w:sz w:val="20"/>
          <w:szCs w:val="18"/>
          <w:lang w:val="en-US"/>
        </w:rPr>
        <w:t xml:space="preserve"> to ensure the plan is being implemented, monitor on-site as per the ESMP monitoring plan.</w:t>
      </w:r>
    </w:p>
    <w:p w:rsidR="00B70568" w:rsidRPr="00B70568" w:rsidRDefault="00B70568" w:rsidP="00B70568">
      <w:pPr>
        <w:spacing w:before="120" w:after="120" w:line="240" w:lineRule="auto"/>
        <w:jc w:val="both"/>
        <w:rPr>
          <w:rFonts w:ascii="Arial Narrow" w:eastAsia="Times New Roman" w:hAnsi="Arial Narrow"/>
          <w:sz w:val="20"/>
          <w:lang w:val="en-US"/>
        </w:rPr>
      </w:pPr>
    </w:p>
    <w:p w:rsidR="00B70568" w:rsidRPr="00B70568" w:rsidRDefault="00B70568" w:rsidP="00B70568">
      <w:pPr>
        <w:spacing w:after="120" w:line="240" w:lineRule="auto"/>
        <w:rPr>
          <w:rFonts w:ascii="Arial Narrow" w:eastAsia="Times New Roman" w:hAnsi="Arial Narrow"/>
          <w:sz w:val="20"/>
          <w:lang w:val="en-US"/>
        </w:rPr>
        <w:sectPr w:rsidR="00B70568" w:rsidRPr="00B70568" w:rsidSect="00C124C9">
          <w:footerReference w:type="default" r:id="rId7"/>
          <w:pgSz w:w="12240" w:h="15840" w:code="1"/>
          <w:pgMar w:top="1440" w:right="1440" w:bottom="1440" w:left="1440" w:header="709" w:footer="567" w:gutter="0"/>
          <w:cols w:space="708"/>
          <w:docGrid w:linePitch="360"/>
        </w:sectPr>
      </w:pPr>
    </w:p>
    <w:p w:rsidR="00B70568" w:rsidRPr="00B70568" w:rsidRDefault="00B70568" w:rsidP="00B70568">
      <w:pPr>
        <w:numPr>
          <w:ilvl w:val="1"/>
          <w:numId w:val="0"/>
        </w:numPr>
        <w:spacing w:before="120" w:after="120" w:line="240" w:lineRule="auto"/>
        <w:jc w:val="both"/>
        <w:rPr>
          <w:rFonts w:ascii="Arial Narrow" w:eastAsia="Times New Roman" w:hAnsi="Arial Narrow"/>
          <w:color w:val="5A5A5A" w:themeColor="text1" w:themeTint="A5"/>
          <w:spacing w:val="10"/>
          <w:sz w:val="20"/>
          <w:lang w:val="en-US"/>
        </w:rPr>
      </w:pPr>
      <w:r w:rsidRPr="00B70568">
        <w:rPr>
          <w:rFonts w:ascii="Arial Narrow" w:eastAsia="Times New Roman" w:hAnsi="Arial Narrow"/>
          <w:color w:val="5A5A5A" w:themeColor="text1" w:themeTint="A5"/>
          <w:spacing w:val="10"/>
          <w:sz w:val="20"/>
          <w:lang w:val="en-US"/>
        </w:rPr>
        <w:lastRenderedPageBreak/>
        <w:t>Table A7.1: Waste Stream Inventory</w:t>
      </w:r>
    </w:p>
    <w:tbl>
      <w:tblPr>
        <w:tblStyle w:val="TableGrid"/>
        <w:tblW w:w="0" w:type="auto"/>
        <w:tblLook w:val="04A0" w:firstRow="1" w:lastRow="0" w:firstColumn="1" w:lastColumn="0" w:noHBand="0" w:noVBand="1"/>
      </w:tblPr>
      <w:tblGrid>
        <w:gridCol w:w="1791"/>
        <w:gridCol w:w="1221"/>
        <w:gridCol w:w="1752"/>
        <w:gridCol w:w="2005"/>
        <w:gridCol w:w="2247"/>
      </w:tblGrid>
      <w:tr w:rsidR="00B70568" w:rsidRPr="00B70568" w:rsidTr="00B7217E">
        <w:tc>
          <w:tcPr>
            <w:tcW w:w="3837" w:type="dxa"/>
            <w:gridSpan w:val="2"/>
            <w:vMerge w:val="restart"/>
            <w:shd w:val="clear" w:color="auto" w:fill="9CC2E5" w:themeFill="accent1" w:themeFillTint="99"/>
          </w:tcPr>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b/>
                <w:sz w:val="20"/>
                <w:lang w:val="en-US"/>
              </w:rPr>
              <w:t>Waste and/or Recyclable Materials</w:t>
            </w:r>
          </w:p>
        </w:tc>
        <w:tc>
          <w:tcPr>
            <w:tcW w:w="9058" w:type="dxa"/>
            <w:gridSpan w:val="3"/>
            <w:shd w:val="clear" w:color="auto" w:fill="9CC2E5" w:themeFill="accent1" w:themeFillTint="99"/>
          </w:tcPr>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b/>
                <w:sz w:val="20"/>
                <w:lang w:val="en-US"/>
              </w:rPr>
              <w:t>Destination</w:t>
            </w:r>
          </w:p>
        </w:tc>
      </w:tr>
      <w:tr w:rsidR="00B70568" w:rsidRPr="00B70568" w:rsidTr="00B7217E">
        <w:tc>
          <w:tcPr>
            <w:tcW w:w="3837" w:type="dxa"/>
            <w:gridSpan w:val="2"/>
            <w:vMerge/>
            <w:shd w:val="clear" w:color="auto" w:fill="9CC2E5" w:themeFill="accent1" w:themeFillTint="99"/>
          </w:tcPr>
          <w:p w:rsidR="00B70568" w:rsidRPr="00B70568" w:rsidRDefault="00B70568" w:rsidP="00B70568">
            <w:pPr>
              <w:spacing w:after="120"/>
              <w:rPr>
                <w:rFonts w:ascii="Arial Narrow" w:eastAsia="Times New Roman" w:hAnsi="Arial Narrow"/>
                <w:b/>
                <w:sz w:val="20"/>
                <w:lang w:val="en-US"/>
              </w:rPr>
            </w:pPr>
          </w:p>
        </w:tc>
        <w:tc>
          <w:tcPr>
            <w:tcW w:w="5514" w:type="dxa"/>
            <w:gridSpan w:val="2"/>
            <w:shd w:val="clear" w:color="auto" w:fill="BDD6EE" w:themeFill="accent1" w:themeFillTint="66"/>
          </w:tcPr>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b/>
                <w:sz w:val="20"/>
                <w:lang w:val="en-US"/>
              </w:rPr>
              <w:t>Reuse and Recycling</w:t>
            </w:r>
          </w:p>
        </w:tc>
        <w:tc>
          <w:tcPr>
            <w:tcW w:w="3544" w:type="dxa"/>
            <w:shd w:val="clear" w:color="auto" w:fill="BDD6EE" w:themeFill="accent1" w:themeFillTint="66"/>
          </w:tcPr>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b/>
                <w:sz w:val="20"/>
                <w:lang w:val="en-US"/>
              </w:rPr>
              <w:t>Disposal</w:t>
            </w:r>
          </w:p>
        </w:tc>
      </w:tr>
      <w:tr w:rsidR="00B70568" w:rsidRPr="00B70568" w:rsidTr="00B7217E">
        <w:tc>
          <w:tcPr>
            <w:tcW w:w="2380" w:type="dxa"/>
            <w:shd w:val="clear" w:color="auto" w:fill="DEEAF6" w:themeFill="accent1" w:themeFillTint="33"/>
          </w:tcPr>
          <w:p w:rsidR="00B70568" w:rsidRPr="00B70568" w:rsidRDefault="00B70568" w:rsidP="00B70568">
            <w:pPr>
              <w:spacing w:after="120"/>
              <w:rPr>
                <w:rFonts w:ascii="Arial Narrow" w:eastAsia="Times New Roman" w:hAnsi="Arial Narrow"/>
                <w:b/>
                <w:sz w:val="20"/>
                <w:lang w:val="en-US"/>
              </w:rPr>
            </w:pPr>
            <w:r w:rsidRPr="00B70568">
              <w:rPr>
                <w:rFonts w:ascii="Arial Narrow" w:eastAsia="Times New Roman" w:hAnsi="Arial Narrow"/>
                <w:b/>
                <w:sz w:val="20"/>
                <w:lang w:val="en-US"/>
              </w:rPr>
              <w:t xml:space="preserve">Possible Materials Generated </w:t>
            </w:r>
          </w:p>
          <w:p w:rsidR="00B70568" w:rsidRPr="00B70568" w:rsidRDefault="00B70568" w:rsidP="00B70568">
            <w:pPr>
              <w:spacing w:after="120"/>
              <w:rPr>
                <w:rFonts w:ascii="Arial Narrow" w:eastAsia="Times New Roman" w:hAnsi="Arial Narrow"/>
                <w:b/>
                <w:sz w:val="20"/>
                <w:lang w:val="en-US"/>
              </w:rPr>
            </w:pPr>
            <w:r w:rsidRPr="00B70568">
              <w:rPr>
                <w:rFonts w:ascii="Arial Narrow" w:eastAsia="Times New Roman" w:hAnsi="Arial Narrow"/>
                <w:sz w:val="20"/>
                <w:lang w:val="en-US"/>
              </w:rPr>
              <w:t>(add or delete as needed)</w:t>
            </w:r>
          </w:p>
        </w:tc>
        <w:tc>
          <w:tcPr>
            <w:tcW w:w="1457" w:type="dxa"/>
            <w:shd w:val="clear" w:color="auto" w:fill="DEEAF6" w:themeFill="accent1" w:themeFillTint="33"/>
          </w:tcPr>
          <w:p w:rsidR="00B70568" w:rsidRPr="00B70568" w:rsidRDefault="00B70568" w:rsidP="00B70568">
            <w:pPr>
              <w:spacing w:after="120"/>
              <w:rPr>
                <w:rFonts w:ascii="Arial Narrow" w:eastAsia="Times New Roman" w:hAnsi="Arial Narrow"/>
                <w:b/>
                <w:sz w:val="20"/>
                <w:lang w:val="en-US"/>
              </w:rPr>
            </w:pPr>
            <w:r w:rsidRPr="00B70568">
              <w:rPr>
                <w:rFonts w:ascii="Arial Narrow" w:eastAsia="Times New Roman" w:hAnsi="Arial Narrow"/>
                <w:b/>
                <w:sz w:val="20"/>
                <w:lang w:val="en-US"/>
              </w:rPr>
              <w:t>Estimated volume (m3) or area (m2) or weight (t)</w:t>
            </w:r>
          </w:p>
        </w:tc>
        <w:tc>
          <w:tcPr>
            <w:tcW w:w="2679" w:type="dxa"/>
            <w:shd w:val="clear" w:color="auto" w:fill="DEEAF6" w:themeFill="accent1" w:themeFillTint="33"/>
          </w:tcPr>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b/>
                <w:sz w:val="20"/>
                <w:lang w:val="en-US"/>
              </w:rPr>
              <w:t>On-site</w:t>
            </w:r>
          </w:p>
          <w:p w:rsidR="00B70568" w:rsidRPr="00B70568" w:rsidRDefault="00B70568" w:rsidP="00B70568">
            <w:pPr>
              <w:spacing w:after="120"/>
              <w:jc w:val="center"/>
              <w:rPr>
                <w:rFonts w:ascii="Arial Narrow" w:eastAsia="Times New Roman" w:hAnsi="Arial Narrow"/>
                <w:b/>
                <w:sz w:val="20"/>
                <w:lang w:val="en-US"/>
              </w:rPr>
            </w:pPr>
            <w:r w:rsidRPr="00B70568">
              <w:rPr>
                <w:rFonts w:ascii="Arial Narrow" w:eastAsia="Times New Roman" w:hAnsi="Arial Narrow"/>
                <w:sz w:val="20"/>
                <w:lang w:val="en-US"/>
              </w:rPr>
              <w:t>(how will materials be reused and/or recycled on-site)</w:t>
            </w:r>
          </w:p>
        </w:tc>
        <w:tc>
          <w:tcPr>
            <w:tcW w:w="2835" w:type="dxa"/>
            <w:shd w:val="clear" w:color="auto" w:fill="DEEAF6" w:themeFill="accent1" w:themeFillTint="33"/>
          </w:tcPr>
          <w:tbl>
            <w:tblPr>
              <w:tblW w:w="0" w:type="auto"/>
              <w:tblBorders>
                <w:top w:val="nil"/>
                <w:left w:val="nil"/>
                <w:bottom w:val="nil"/>
                <w:right w:val="nil"/>
              </w:tblBorders>
              <w:tblLook w:val="0000" w:firstRow="0" w:lastRow="0" w:firstColumn="0" w:lastColumn="0" w:noHBand="0" w:noVBand="0"/>
            </w:tblPr>
            <w:tblGrid>
              <w:gridCol w:w="1789"/>
            </w:tblGrid>
            <w:tr w:rsidR="00B70568" w:rsidRPr="00B70568" w:rsidTr="00B7217E">
              <w:trPr>
                <w:trHeight w:val="626"/>
              </w:trPr>
              <w:tc>
                <w:tcPr>
                  <w:tcW w:w="0" w:type="auto"/>
                </w:tcPr>
                <w:p w:rsidR="00B70568" w:rsidRPr="00B70568" w:rsidRDefault="00B70568" w:rsidP="00B70568">
                  <w:pPr>
                    <w:spacing w:after="120" w:line="240" w:lineRule="auto"/>
                    <w:jc w:val="center"/>
                    <w:rPr>
                      <w:rFonts w:ascii="Arial Narrow" w:eastAsia="Times New Roman" w:hAnsi="Arial Narrow"/>
                      <w:b/>
                      <w:sz w:val="20"/>
                      <w:lang w:val="en-US"/>
                    </w:rPr>
                  </w:pPr>
                  <w:r w:rsidRPr="00B70568">
                    <w:rPr>
                      <w:rFonts w:ascii="Arial Narrow" w:eastAsia="Times New Roman" w:hAnsi="Arial Narrow"/>
                      <w:b/>
                      <w:sz w:val="20"/>
                      <w:lang w:val="en-US"/>
                    </w:rPr>
                    <w:t>Off-site</w:t>
                  </w:r>
                </w:p>
                <w:p w:rsidR="00B70568" w:rsidRPr="00B70568" w:rsidRDefault="00B70568" w:rsidP="00B70568">
                  <w:pPr>
                    <w:spacing w:after="120" w:line="240" w:lineRule="auto"/>
                    <w:jc w:val="center"/>
                    <w:rPr>
                      <w:rFonts w:ascii="Arial Narrow" w:eastAsia="Times New Roman" w:hAnsi="Arial Narrow"/>
                      <w:sz w:val="20"/>
                      <w:lang w:val="en-US"/>
                    </w:rPr>
                  </w:pPr>
                  <w:r w:rsidRPr="00B70568">
                    <w:rPr>
                      <w:rFonts w:ascii="Arial Narrow" w:eastAsia="Times New Roman" w:hAnsi="Arial Narrow"/>
                      <w:sz w:val="20"/>
                      <w:lang w:val="en-US"/>
                    </w:rPr>
                    <w:t>(Specify the proposed destination and/or recycling facility)</w:t>
                  </w:r>
                </w:p>
              </w:tc>
            </w:tr>
          </w:tbl>
          <w:p w:rsidR="00B70568" w:rsidRPr="00B70568" w:rsidRDefault="00B70568" w:rsidP="00B70568">
            <w:pPr>
              <w:spacing w:after="120"/>
              <w:jc w:val="center"/>
              <w:rPr>
                <w:rFonts w:ascii="Arial Narrow" w:eastAsia="Times New Roman" w:hAnsi="Arial Narrow"/>
                <w:b/>
                <w:sz w:val="20"/>
                <w:lang w:val="en-US"/>
              </w:rPr>
            </w:pPr>
          </w:p>
        </w:tc>
        <w:tc>
          <w:tcPr>
            <w:tcW w:w="3544" w:type="dxa"/>
            <w:shd w:val="clear" w:color="auto" w:fill="DEEAF6" w:themeFill="accent1" w:themeFillTint="33"/>
          </w:tcPr>
          <w:p w:rsidR="00B70568" w:rsidRPr="00B70568" w:rsidRDefault="00B70568" w:rsidP="00B70568">
            <w:pPr>
              <w:spacing w:after="120"/>
              <w:rPr>
                <w:rFonts w:ascii="Arial Narrow" w:eastAsia="Times New Roman" w:hAnsi="Arial Narrow"/>
                <w:b/>
                <w:sz w:val="20"/>
                <w:lang w:val="en-US"/>
              </w:rPr>
            </w:pPr>
            <w:r w:rsidRPr="00B70568">
              <w:rPr>
                <w:rFonts w:ascii="Arial Narrow" w:eastAsia="Times New Roman" w:hAnsi="Arial Narrow"/>
                <w:b/>
                <w:sz w:val="20"/>
                <w:lang w:val="en-US"/>
              </w:rPr>
              <w:t>Specify the off-island disposal site and the process for collection, storage and eventual disposal</w:t>
            </w: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Wood waste</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Cardboard and paper</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 xml:space="preserve">Ferrous metals </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 xml:space="preserve">Non-ferrous metals </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Concrete</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Gravel</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Sand/soil</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Asphalt</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Green waste</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Asbestos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Fluorescent light bulbs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Glass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Hydrocarbons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Plastics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PVC</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r w:rsidR="00B70568" w:rsidRPr="00B70568" w:rsidTr="00B7217E">
        <w:tc>
          <w:tcPr>
            <w:tcW w:w="2380" w:type="dxa"/>
          </w:tcPr>
          <w:p w:rsidR="00B70568" w:rsidRPr="00B70568" w:rsidRDefault="00B70568" w:rsidP="00B70568">
            <w:pPr>
              <w:spacing w:after="120"/>
              <w:rPr>
                <w:rFonts w:ascii="Arial Narrow" w:eastAsia="Times New Roman" w:hAnsi="Arial Narrow"/>
                <w:sz w:val="20"/>
                <w:lang w:val="en-US"/>
              </w:rPr>
            </w:pPr>
            <w:r w:rsidRPr="00B70568">
              <w:rPr>
                <w:rFonts w:ascii="Arial Narrow" w:eastAsia="Times New Roman" w:hAnsi="Arial Narrow"/>
                <w:sz w:val="20"/>
                <w:lang w:val="en-US"/>
              </w:rPr>
              <w:t>General waste (</w:t>
            </w:r>
            <w:r w:rsidR="00531298" w:rsidRPr="00B70568">
              <w:rPr>
                <w:rFonts w:ascii="Arial Narrow" w:eastAsia="Times New Roman" w:hAnsi="Arial Narrow"/>
                <w:sz w:val="20"/>
                <w:lang w:val="en-US"/>
              </w:rPr>
              <w:t>e.g.</w:t>
            </w:r>
            <w:r w:rsidRPr="00B70568">
              <w:rPr>
                <w:rFonts w:ascii="Arial Narrow" w:eastAsia="Times New Roman" w:hAnsi="Arial Narrow"/>
                <w:sz w:val="20"/>
                <w:lang w:val="en-US"/>
              </w:rPr>
              <w:t xml:space="preserve"> food waste, contaminated food packaging, non-recyclable plastics)</w:t>
            </w:r>
          </w:p>
        </w:tc>
        <w:tc>
          <w:tcPr>
            <w:tcW w:w="1457" w:type="dxa"/>
          </w:tcPr>
          <w:p w:rsidR="00B70568" w:rsidRPr="00B70568" w:rsidRDefault="00B70568" w:rsidP="00B70568">
            <w:pPr>
              <w:spacing w:after="120"/>
              <w:rPr>
                <w:rFonts w:ascii="Arial Narrow" w:eastAsia="Times New Roman" w:hAnsi="Arial Narrow"/>
                <w:sz w:val="20"/>
                <w:lang w:val="en-US"/>
              </w:rPr>
            </w:pPr>
          </w:p>
        </w:tc>
        <w:tc>
          <w:tcPr>
            <w:tcW w:w="2679" w:type="dxa"/>
          </w:tcPr>
          <w:p w:rsidR="00B70568" w:rsidRPr="00B70568" w:rsidRDefault="00B70568" w:rsidP="00B70568">
            <w:pPr>
              <w:spacing w:after="120"/>
              <w:rPr>
                <w:rFonts w:ascii="Arial Narrow" w:eastAsia="Times New Roman" w:hAnsi="Arial Narrow"/>
                <w:sz w:val="20"/>
                <w:lang w:val="en-US"/>
              </w:rPr>
            </w:pPr>
          </w:p>
        </w:tc>
        <w:tc>
          <w:tcPr>
            <w:tcW w:w="2835" w:type="dxa"/>
          </w:tcPr>
          <w:p w:rsidR="00B70568" w:rsidRPr="00B70568" w:rsidRDefault="00B70568" w:rsidP="00B70568">
            <w:pPr>
              <w:spacing w:after="120"/>
              <w:rPr>
                <w:rFonts w:ascii="Arial Narrow" w:eastAsia="Times New Roman" w:hAnsi="Arial Narrow"/>
                <w:sz w:val="20"/>
                <w:lang w:val="en-US"/>
              </w:rPr>
            </w:pPr>
          </w:p>
        </w:tc>
        <w:tc>
          <w:tcPr>
            <w:tcW w:w="3544" w:type="dxa"/>
          </w:tcPr>
          <w:p w:rsidR="00B70568" w:rsidRPr="00B70568" w:rsidRDefault="00B70568" w:rsidP="00B70568">
            <w:pPr>
              <w:spacing w:after="120"/>
              <w:rPr>
                <w:rFonts w:ascii="Arial Narrow" w:eastAsia="Times New Roman" w:hAnsi="Arial Narrow"/>
                <w:sz w:val="20"/>
                <w:lang w:val="en-US"/>
              </w:rPr>
            </w:pPr>
          </w:p>
        </w:tc>
      </w:tr>
    </w:tbl>
    <w:p w:rsidR="00B70568" w:rsidRPr="00B70568" w:rsidRDefault="00B70568" w:rsidP="00B70568"/>
    <w:sectPr w:rsidR="00B70568" w:rsidRPr="00B7056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301D" w:rsidRDefault="00F8301D" w:rsidP="001A13E2">
      <w:pPr>
        <w:spacing w:after="0" w:line="240" w:lineRule="auto"/>
      </w:pPr>
      <w:r>
        <w:separator/>
      </w:r>
    </w:p>
  </w:endnote>
  <w:endnote w:type="continuationSeparator" w:id="0">
    <w:p w:rsidR="00F8301D" w:rsidRDefault="00F8301D" w:rsidP="001A1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3E2" w:rsidRDefault="001A13E2">
    <w:pPr>
      <w:pStyle w:val="Footer"/>
    </w:pPr>
    <w:r>
      <w:t>MIMIP Annexure P</w:t>
    </w:r>
    <w:r>
      <w:tab/>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301D" w:rsidRDefault="00F8301D" w:rsidP="001A13E2">
      <w:pPr>
        <w:spacing w:after="0" w:line="240" w:lineRule="auto"/>
      </w:pPr>
      <w:r>
        <w:separator/>
      </w:r>
    </w:p>
  </w:footnote>
  <w:footnote w:type="continuationSeparator" w:id="0">
    <w:p w:rsidR="00F8301D" w:rsidRDefault="00F8301D" w:rsidP="001A13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912705"/>
    <w:multiLevelType w:val="hybridMultilevel"/>
    <w:tmpl w:val="3000B9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256428F5"/>
    <w:multiLevelType w:val="hybridMultilevel"/>
    <w:tmpl w:val="DAACB090"/>
    <w:lvl w:ilvl="0" w:tplc="0C090001">
      <w:start w:val="1"/>
      <w:numFmt w:val="bullet"/>
      <w:lvlText w:val=""/>
      <w:lvlJc w:val="left"/>
      <w:pPr>
        <w:ind w:left="1288" w:hanging="360"/>
      </w:pPr>
      <w:rPr>
        <w:rFonts w:ascii="Symbol" w:hAnsi="Symbol" w:hint="default"/>
      </w:rPr>
    </w:lvl>
    <w:lvl w:ilvl="1" w:tplc="0C090003" w:tentative="1">
      <w:start w:val="1"/>
      <w:numFmt w:val="bullet"/>
      <w:lvlText w:val="o"/>
      <w:lvlJc w:val="left"/>
      <w:pPr>
        <w:ind w:left="2008" w:hanging="360"/>
      </w:pPr>
      <w:rPr>
        <w:rFonts w:ascii="Courier New" w:hAnsi="Courier New" w:cs="Courier New" w:hint="default"/>
      </w:rPr>
    </w:lvl>
    <w:lvl w:ilvl="2" w:tplc="0C090005" w:tentative="1">
      <w:start w:val="1"/>
      <w:numFmt w:val="bullet"/>
      <w:lvlText w:val=""/>
      <w:lvlJc w:val="left"/>
      <w:pPr>
        <w:ind w:left="2728" w:hanging="360"/>
      </w:pPr>
      <w:rPr>
        <w:rFonts w:ascii="Wingdings" w:hAnsi="Wingdings" w:hint="default"/>
      </w:rPr>
    </w:lvl>
    <w:lvl w:ilvl="3" w:tplc="0C090001" w:tentative="1">
      <w:start w:val="1"/>
      <w:numFmt w:val="bullet"/>
      <w:lvlText w:val=""/>
      <w:lvlJc w:val="left"/>
      <w:pPr>
        <w:ind w:left="3448" w:hanging="360"/>
      </w:pPr>
      <w:rPr>
        <w:rFonts w:ascii="Symbol" w:hAnsi="Symbol" w:hint="default"/>
      </w:rPr>
    </w:lvl>
    <w:lvl w:ilvl="4" w:tplc="0C090003" w:tentative="1">
      <w:start w:val="1"/>
      <w:numFmt w:val="bullet"/>
      <w:lvlText w:val="o"/>
      <w:lvlJc w:val="left"/>
      <w:pPr>
        <w:ind w:left="4168" w:hanging="360"/>
      </w:pPr>
      <w:rPr>
        <w:rFonts w:ascii="Courier New" w:hAnsi="Courier New" w:cs="Courier New" w:hint="default"/>
      </w:rPr>
    </w:lvl>
    <w:lvl w:ilvl="5" w:tplc="0C090005" w:tentative="1">
      <w:start w:val="1"/>
      <w:numFmt w:val="bullet"/>
      <w:lvlText w:val=""/>
      <w:lvlJc w:val="left"/>
      <w:pPr>
        <w:ind w:left="4888" w:hanging="360"/>
      </w:pPr>
      <w:rPr>
        <w:rFonts w:ascii="Wingdings" w:hAnsi="Wingdings" w:hint="default"/>
      </w:rPr>
    </w:lvl>
    <w:lvl w:ilvl="6" w:tplc="0C090001" w:tentative="1">
      <w:start w:val="1"/>
      <w:numFmt w:val="bullet"/>
      <w:lvlText w:val=""/>
      <w:lvlJc w:val="left"/>
      <w:pPr>
        <w:ind w:left="5608" w:hanging="360"/>
      </w:pPr>
      <w:rPr>
        <w:rFonts w:ascii="Symbol" w:hAnsi="Symbol" w:hint="default"/>
      </w:rPr>
    </w:lvl>
    <w:lvl w:ilvl="7" w:tplc="0C090003" w:tentative="1">
      <w:start w:val="1"/>
      <w:numFmt w:val="bullet"/>
      <w:lvlText w:val="o"/>
      <w:lvlJc w:val="left"/>
      <w:pPr>
        <w:ind w:left="6328" w:hanging="360"/>
      </w:pPr>
      <w:rPr>
        <w:rFonts w:ascii="Courier New" w:hAnsi="Courier New" w:cs="Courier New" w:hint="default"/>
      </w:rPr>
    </w:lvl>
    <w:lvl w:ilvl="8" w:tplc="0C090005" w:tentative="1">
      <w:start w:val="1"/>
      <w:numFmt w:val="bullet"/>
      <w:lvlText w:val=""/>
      <w:lvlJc w:val="left"/>
      <w:pPr>
        <w:ind w:left="7048" w:hanging="360"/>
      </w:pPr>
      <w:rPr>
        <w:rFonts w:ascii="Wingdings" w:hAnsi="Wingdings" w:hint="default"/>
      </w:rPr>
    </w:lvl>
  </w:abstractNum>
  <w:abstractNum w:abstractNumId="2" w15:restartNumberingAfterBreak="0">
    <w:nsid w:val="455F0A0A"/>
    <w:multiLevelType w:val="hybridMultilevel"/>
    <w:tmpl w:val="8A16D0BA"/>
    <w:lvl w:ilvl="0" w:tplc="0C090001">
      <w:start w:val="1"/>
      <w:numFmt w:val="bullet"/>
      <w:lvlText w:val=""/>
      <w:lvlJc w:val="left"/>
      <w:pPr>
        <w:ind w:left="1288" w:hanging="360"/>
      </w:pPr>
      <w:rPr>
        <w:rFonts w:ascii="Symbol" w:hAnsi="Symbol" w:hint="default"/>
      </w:rPr>
    </w:lvl>
    <w:lvl w:ilvl="1" w:tplc="0C090003" w:tentative="1">
      <w:start w:val="1"/>
      <w:numFmt w:val="bullet"/>
      <w:lvlText w:val="o"/>
      <w:lvlJc w:val="left"/>
      <w:pPr>
        <w:ind w:left="2008" w:hanging="360"/>
      </w:pPr>
      <w:rPr>
        <w:rFonts w:ascii="Courier New" w:hAnsi="Courier New" w:cs="Courier New" w:hint="default"/>
      </w:rPr>
    </w:lvl>
    <w:lvl w:ilvl="2" w:tplc="0C090005" w:tentative="1">
      <w:start w:val="1"/>
      <w:numFmt w:val="bullet"/>
      <w:lvlText w:val=""/>
      <w:lvlJc w:val="left"/>
      <w:pPr>
        <w:ind w:left="2728" w:hanging="360"/>
      </w:pPr>
      <w:rPr>
        <w:rFonts w:ascii="Wingdings" w:hAnsi="Wingdings" w:hint="default"/>
      </w:rPr>
    </w:lvl>
    <w:lvl w:ilvl="3" w:tplc="0C090001" w:tentative="1">
      <w:start w:val="1"/>
      <w:numFmt w:val="bullet"/>
      <w:lvlText w:val=""/>
      <w:lvlJc w:val="left"/>
      <w:pPr>
        <w:ind w:left="3448" w:hanging="360"/>
      </w:pPr>
      <w:rPr>
        <w:rFonts w:ascii="Symbol" w:hAnsi="Symbol" w:hint="default"/>
      </w:rPr>
    </w:lvl>
    <w:lvl w:ilvl="4" w:tplc="0C090003" w:tentative="1">
      <w:start w:val="1"/>
      <w:numFmt w:val="bullet"/>
      <w:lvlText w:val="o"/>
      <w:lvlJc w:val="left"/>
      <w:pPr>
        <w:ind w:left="4168" w:hanging="360"/>
      </w:pPr>
      <w:rPr>
        <w:rFonts w:ascii="Courier New" w:hAnsi="Courier New" w:cs="Courier New" w:hint="default"/>
      </w:rPr>
    </w:lvl>
    <w:lvl w:ilvl="5" w:tplc="0C090005" w:tentative="1">
      <w:start w:val="1"/>
      <w:numFmt w:val="bullet"/>
      <w:lvlText w:val=""/>
      <w:lvlJc w:val="left"/>
      <w:pPr>
        <w:ind w:left="4888" w:hanging="360"/>
      </w:pPr>
      <w:rPr>
        <w:rFonts w:ascii="Wingdings" w:hAnsi="Wingdings" w:hint="default"/>
      </w:rPr>
    </w:lvl>
    <w:lvl w:ilvl="6" w:tplc="0C090001" w:tentative="1">
      <w:start w:val="1"/>
      <w:numFmt w:val="bullet"/>
      <w:lvlText w:val=""/>
      <w:lvlJc w:val="left"/>
      <w:pPr>
        <w:ind w:left="5608" w:hanging="360"/>
      </w:pPr>
      <w:rPr>
        <w:rFonts w:ascii="Symbol" w:hAnsi="Symbol" w:hint="default"/>
      </w:rPr>
    </w:lvl>
    <w:lvl w:ilvl="7" w:tplc="0C090003" w:tentative="1">
      <w:start w:val="1"/>
      <w:numFmt w:val="bullet"/>
      <w:lvlText w:val="o"/>
      <w:lvlJc w:val="left"/>
      <w:pPr>
        <w:ind w:left="6328" w:hanging="360"/>
      </w:pPr>
      <w:rPr>
        <w:rFonts w:ascii="Courier New" w:hAnsi="Courier New" w:cs="Courier New" w:hint="default"/>
      </w:rPr>
    </w:lvl>
    <w:lvl w:ilvl="8" w:tplc="0C090005" w:tentative="1">
      <w:start w:val="1"/>
      <w:numFmt w:val="bullet"/>
      <w:lvlText w:val=""/>
      <w:lvlJc w:val="left"/>
      <w:pPr>
        <w:ind w:left="7048" w:hanging="360"/>
      </w:pPr>
      <w:rPr>
        <w:rFonts w:ascii="Wingdings" w:hAnsi="Wingdings" w:hint="default"/>
      </w:rPr>
    </w:lvl>
  </w:abstractNum>
  <w:abstractNum w:abstractNumId="3" w15:restartNumberingAfterBreak="0">
    <w:nsid w:val="46253C31"/>
    <w:multiLevelType w:val="hybridMultilevel"/>
    <w:tmpl w:val="E1622F18"/>
    <w:lvl w:ilvl="0" w:tplc="0C090003">
      <w:start w:val="1"/>
      <w:numFmt w:val="bullet"/>
      <w:lvlText w:val="o"/>
      <w:lvlJc w:val="left"/>
      <w:pPr>
        <w:ind w:left="720" w:hanging="360"/>
      </w:pPr>
      <w:rPr>
        <w:rFonts w:ascii="Courier New" w:hAnsi="Courier New" w:cs="Courier New" w:hint="default"/>
        <w:b w:val="0"/>
        <w:i w:val="0"/>
        <w:color w:val="auto"/>
        <w:sz w:val="22"/>
        <w:szCs w:val="22"/>
        <w:u w:color="1F4E79"/>
      </w:rPr>
    </w:lvl>
    <w:lvl w:ilvl="1" w:tplc="B85292B6">
      <w:start w:val="1"/>
      <w:numFmt w:val="bullet"/>
      <w:lvlText w:val="o"/>
      <w:lvlJc w:val="left"/>
      <w:pPr>
        <w:ind w:left="1440" w:hanging="360"/>
      </w:pPr>
      <w:rPr>
        <w:rFonts w:ascii="Courier New" w:hAnsi="Courier New" w:cs="Courier New"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540323D"/>
    <w:multiLevelType w:val="hybridMultilevel"/>
    <w:tmpl w:val="2CF644A6"/>
    <w:lvl w:ilvl="0" w:tplc="0C090003">
      <w:start w:val="1"/>
      <w:numFmt w:val="bullet"/>
      <w:lvlText w:val="o"/>
      <w:lvlJc w:val="left"/>
      <w:pPr>
        <w:ind w:left="927" w:hanging="360"/>
      </w:pPr>
      <w:rPr>
        <w:rFonts w:ascii="Courier New" w:hAnsi="Courier New" w:cs="Courier New"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5" w15:restartNumberingAfterBreak="0">
    <w:nsid w:val="6FA97B7B"/>
    <w:multiLevelType w:val="hybridMultilevel"/>
    <w:tmpl w:val="C28A9BC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568"/>
    <w:rsid w:val="000951B7"/>
    <w:rsid w:val="001A13E2"/>
    <w:rsid w:val="00531298"/>
    <w:rsid w:val="00544250"/>
    <w:rsid w:val="00A31A90"/>
    <w:rsid w:val="00B70568"/>
    <w:rsid w:val="00F830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EC5512-9CBC-469C-ABDC-2C094D97D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705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0568"/>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7056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531298"/>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31298"/>
    <w:rPr>
      <w:rFonts w:eastAsiaTheme="minorEastAsia"/>
      <w:color w:val="5A5A5A" w:themeColor="text1" w:themeTint="A5"/>
      <w:spacing w:val="15"/>
    </w:rPr>
  </w:style>
  <w:style w:type="paragraph" w:styleId="ListParagraph">
    <w:name w:val="List Paragraph"/>
    <w:basedOn w:val="Normal"/>
    <w:uiPriority w:val="34"/>
    <w:qFormat/>
    <w:rsid w:val="00531298"/>
    <w:pPr>
      <w:ind w:left="720"/>
      <w:contextualSpacing/>
    </w:pPr>
  </w:style>
  <w:style w:type="paragraph" w:styleId="Header">
    <w:name w:val="header"/>
    <w:basedOn w:val="Normal"/>
    <w:link w:val="HeaderChar"/>
    <w:uiPriority w:val="99"/>
    <w:unhideWhenUsed/>
    <w:rsid w:val="001A13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13E2"/>
  </w:style>
  <w:style w:type="paragraph" w:styleId="Footer">
    <w:name w:val="footer"/>
    <w:basedOn w:val="Normal"/>
    <w:link w:val="FooterChar"/>
    <w:uiPriority w:val="99"/>
    <w:unhideWhenUsed/>
    <w:rsid w:val="001A13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13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5</cp:revision>
  <dcterms:created xsi:type="dcterms:W3CDTF">2019-03-12T08:06:00Z</dcterms:created>
  <dcterms:modified xsi:type="dcterms:W3CDTF">2019-03-14T22:44:00Z</dcterms:modified>
</cp:coreProperties>
</file>